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虚拟电厂运营商接入申请表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251"/>
        <w:gridCol w:w="1306"/>
        <w:gridCol w:w="1527"/>
        <w:gridCol w:w="1180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4"/>
                <w:szCs w:val="20"/>
                <w:highlight w:val="none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运营商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7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法人代表及身份证件号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公司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地点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  <w:t>示例：XX市XX区XX路XX号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  <w:t>示例：XXXX-XX-XX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电子邮箱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pacing w:val="3"/>
                <w:sz w:val="24"/>
                <w:szCs w:val="20"/>
                <w:highlight w:val="none"/>
                <w:lang w:val="en-US" w:eastAsia="zh-CN"/>
              </w:rPr>
              <w:t>平台信息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  <w:t>是否自建</w:t>
            </w:r>
            <w:r>
              <w:rPr>
                <w:rFonts w:hint="eastAsia" w:ascii="仿宋_GB2312" w:hAnsi="仿宋_GB2312" w:cs="仿宋_GB2312"/>
                <w:color w:val="auto"/>
                <w:spacing w:val="0"/>
                <w:sz w:val="21"/>
                <w:szCs w:val="21"/>
                <w:highlight w:val="none"/>
                <w:lang w:eastAsia="zh-CN"/>
              </w:rPr>
              <w:t>技术支持系统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虚拟电厂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运营商技术支持系统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  <w:t>平台版本号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  <w:t>域名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</w:rPr>
              <w:t>平台开发厂家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平台投运时间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仿宋_GB2312" w:hAnsi="仿宋_GB2312" w:eastAsia="仿宋_GB2312" w:cs="仿宋_GB2312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机房所在地点</w:t>
            </w:r>
          </w:p>
        </w:tc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  <w:t>国家信息安全等级保护认证级别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4"/>
                <w:szCs w:val="20"/>
                <w:highlight w:val="none"/>
              </w:rPr>
              <w:t>申请说明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拟参与市场交易品种</w:t>
            </w:r>
          </w:p>
        </w:tc>
        <w:tc>
          <w:tcPr>
            <w:tcW w:w="741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中长期电能量市场交易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现货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电能量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市场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交易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需求响应 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辅助服务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主要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技术支持系统功能简介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500字以内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单位承诺：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本表填报的内容及提交的所有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资料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的原件或复印件及其内容是真实的。如有任何虚假，受理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可终止审核认定；如因虚假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资料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引致法律责任，概由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单位承担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pStyle w:val="10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 xml:space="preserve">单位（盖章）：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 xml:space="preserve">  法定代表人（签字）：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联系人：</w:t>
            </w:r>
          </w:p>
        </w:tc>
        <w:tc>
          <w:tcPr>
            <w:tcW w:w="4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</w:tr>
    </w:tbl>
    <w:p>
      <w:pPr>
        <w:numPr>
          <w:ilvl w:val="0"/>
          <w:numId w:val="0"/>
        </w:numPr>
        <w:tabs>
          <w:tab w:val="left" w:pos="-210"/>
          <w:tab w:val="left" w:pos="420"/>
        </w:tabs>
        <w:adjustRightInd w:val="0"/>
        <w:snapToGrid w:val="0"/>
        <w:spacing w:line="240" w:lineRule="auto"/>
        <w:ind w:firstLine="0" w:firstLineChars="0"/>
        <w:jc w:val="left"/>
        <w:outlineLvl w:val="9"/>
      </w:pPr>
      <w:r>
        <w:rPr>
          <w:rFonts w:hint="default" w:ascii="Times New Roman" w:hAnsi="Times New Roman" w:eastAsia="仿宋_GB2312" w:cs="Times New Roman"/>
          <w:color w:val="auto"/>
          <w:sz w:val="18"/>
          <w:szCs w:val="18"/>
          <w:highlight w:val="none"/>
        </w:rPr>
        <w:t>填写说明：首次接入虚拟电厂</w:t>
      </w:r>
      <w:r>
        <w:rPr>
          <w:rFonts w:hint="eastAsia" w:ascii="Times New Roman" w:hAnsi="Times New Roman" w:cs="Times New Roman"/>
          <w:color w:val="auto"/>
          <w:sz w:val="18"/>
          <w:szCs w:val="18"/>
          <w:highlight w:val="none"/>
          <w:lang w:val="en-US" w:eastAsia="zh-CN"/>
        </w:rPr>
        <w:t>运营商</w:t>
      </w:r>
      <w:r>
        <w:rPr>
          <w:rFonts w:hint="default" w:ascii="Times New Roman" w:hAnsi="Times New Roman" w:eastAsia="仿宋_GB2312" w:cs="Times New Roman"/>
          <w:color w:val="auto"/>
          <w:sz w:val="18"/>
          <w:szCs w:val="18"/>
          <w:highlight w:val="none"/>
        </w:rPr>
        <w:t>编号由</w:t>
      </w:r>
      <w:r>
        <w:rPr>
          <w:rFonts w:hint="eastAsia" w:ascii="Times New Roman" w:hAnsi="Times New Roman" w:cs="Times New Roman"/>
          <w:color w:val="auto"/>
          <w:sz w:val="18"/>
          <w:szCs w:val="18"/>
          <w:highlight w:val="none"/>
          <w:lang w:val="en-US" w:eastAsia="zh-CN"/>
        </w:rPr>
        <w:t>电力交易平台</w:t>
      </w:r>
      <w:r>
        <w:rPr>
          <w:rFonts w:hint="default" w:ascii="Times New Roman" w:hAnsi="Times New Roman" w:eastAsia="仿宋_GB2312" w:cs="Times New Roman"/>
          <w:color w:val="auto"/>
          <w:sz w:val="18"/>
          <w:szCs w:val="18"/>
          <w:highlight w:val="none"/>
        </w:rPr>
        <w:t>自动生成。</w:t>
      </w:r>
      <w:r>
        <w:rPr>
          <w:rFonts w:hint="eastAsia" w:cs="Times New Roman"/>
          <w:color w:val="auto"/>
          <w:sz w:val="18"/>
          <w:szCs w:val="18"/>
          <w:highlight w:val="none"/>
          <w:lang w:val="en-US" w:eastAsia="zh-CN"/>
        </w:rPr>
        <w:t>虚拟电厂安全承诺说明见附表。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kS904AgAAbw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iSRL3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51DB7"/>
    <w:multiLevelType w:val="multilevel"/>
    <w:tmpl w:val="0E351DB7"/>
    <w:lvl w:ilvl="0" w:tentative="0">
      <w:start w:val="1"/>
      <w:numFmt w:val="decimal"/>
      <w:pStyle w:val="5"/>
      <w:lvlText w:val="%1 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黑体" w:hAnsi="黑体" w:eastAsia="黑体" w:cs="黑体"/>
      </w:rPr>
    </w:lvl>
    <w:lvl w:ilvl="1" w:tentative="0">
      <w:start w:val="1"/>
      <w:numFmt w:val="decimal"/>
      <w:pStyle w:val="6"/>
      <w:suff w:val="space"/>
      <w:lvlText w:val="%1.%2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黑体"/>
      </w:rPr>
    </w:lvl>
    <w:lvl w:ilvl="2" w:tentative="0">
      <w:start w:val="1"/>
      <w:numFmt w:val="decimal"/>
      <w:pStyle w:val="7"/>
      <w:suff w:val="space"/>
      <w:lvlText w:val="%1.%2.%3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  <w:b w:val="0"/>
        <w:bCs w:val="0"/>
      </w:rPr>
    </w:lvl>
    <w:lvl w:ilvl="3" w:tentative="0">
      <w:start w:val="1"/>
      <w:numFmt w:val="decimal"/>
      <w:pStyle w:val="8"/>
      <w:suff w:val="space"/>
      <w:lvlText w:val="%1.%2.%3.%4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</w:rPr>
    </w:lvl>
    <w:lvl w:ilvl="4" w:tentative="0">
      <w:start w:val="1"/>
      <w:numFmt w:val="decimal"/>
      <w:pStyle w:val="9"/>
      <w:suff w:val="space"/>
      <w:lvlText w:val="%1.%2.%3.%4.%5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Times New Roman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D5694"/>
    <w:rsid w:val="05C24D91"/>
    <w:rsid w:val="117F0DAA"/>
    <w:rsid w:val="1BAC6E16"/>
    <w:rsid w:val="213D4B16"/>
    <w:rsid w:val="2BD7154F"/>
    <w:rsid w:val="47D05003"/>
    <w:rsid w:val="48854BC2"/>
    <w:rsid w:val="4F777782"/>
    <w:rsid w:val="587D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heading 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adjustRightInd w:val="0"/>
      <w:spacing w:beforeLines="0" w:beforeAutospacing="0" w:afterLines="0" w:afterAutospacing="0" w:line="360" w:lineRule="auto"/>
      <w:ind w:left="425" w:hanging="425" w:firstLineChars="0"/>
      <w:jc w:val="left"/>
      <w:outlineLvl w:val="0"/>
    </w:pPr>
    <w:rPr>
      <w:rFonts w:ascii="黑体" w:hAnsi="黑体" w:eastAsia="黑体" w:cs="黑体"/>
      <w:b/>
      <w:kern w:val="44"/>
      <w:sz w:val="21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adjustRightInd w:val="0"/>
      <w:snapToGrid w:val="0"/>
      <w:spacing w:beforeLines="0" w:beforeAutospacing="0" w:afterLines="0" w:afterAutospacing="0" w:line="360" w:lineRule="auto"/>
      <w:ind w:left="0" w:firstLine="0" w:firstLineChars="0"/>
      <w:jc w:val="left"/>
      <w:outlineLvl w:val="1"/>
    </w:pPr>
    <w:rPr>
      <w:rFonts w:ascii="黑体" w:hAnsi="黑体" w:eastAsia="黑体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0"/>
        <w:tab w:val="clear" w:pos="0"/>
      </w:tabs>
      <w:spacing w:beforeLines="0" w:beforeAutospacing="0" w:afterLines="0" w:afterAutospacing="0" w:line="360" w:lineRule="auto"/>
      <w:ind w:left="0" w:firstLine="0" w:firstLineChars="0"/>
      <w:outlineLvl w:val="2"/>
    </w:pPr>
    <w:rPr>
      <w:rFonts w:eastAsia="黑体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paragraph" w:styleId="9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4"/>
    </w:pPr>
    <w:rPr>
      <w:b/>
      <w:sz w:val="28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 w:firstLine="200" w:firstLineChars="200"/>
    </w:pPr>
    <w:rPr>
      <w:rFonts w:ascii="Times New Roman" w:hAnsi="Times New Roman" w:eastAsia="宋体" w:cs="Times New Roman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Calibri Light" w:hAnsi="Calibri Light"/>
    </w:rPr>
  </w:style>
  <w:style w:type="paragraph" w:styleId="10">
    <w:name w:val="Body Text"/>
    <w:basedOn w:val="11"/>
    <w:next w:val="11"/>
    <w:qFormat/>
    <w:uiPriority w:val="0"/>
    <w:pPr>
      <w:spacing w:after="120" w:afterLines="0" w:afterAutospacing="0"/>
    </w:pPr>
  </w:style>
  <w:style w:type="paragraph" w:styleId="11">
    <w:name w:val="Title"/>
    <w:basedOn w:val="1"/>
    <w:next w:val="1"/>
    <w:qFormat/>
    <w:uiPriority w:val="10"/>
    <w:pPr>
      <w:widowControl/>
      <w:numPr>
        <w:ilvl w:val="1"/>
        <w:numId w:val="0"/>
      </w:numPr>
      <w:adjustRightInd w:val="0"/>
      <w:snapToGrid w:val="0"/>
      <w:spacing w:before="240" w:after="60" w:line="276" w:lineRule="auto"/>
      <w:ind w:firstLine="640" w:firstLineChars="200"/>
      <w:jc w:val="left"/>
      <w:outlineLvl w:val="0"/>
    </w:pPr>
    <w:rPr>
      <w:rFonts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13">
    <w:name w:val="Body Text 2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 w:line="480" w:lineRule="auto"/>
      <w:ind w:left="0" w:right="0" w:firstLine="88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22"/>
      <w:lang w:val="en-US" w:eastAsia="zh-CN" w:bidi="ar"/>
    </w:rPr>
  </w:style>
  <w:style w:type="paragraph" w:customStyle="1" w:styleId="16">
    <w:name w:val="列表段落1"/>
    <w:semiHidden/>
    <w:qFormat/>
    <w:uiPriority w:val="0"/>
    <w:pPr>
      <w:widowControl w:val="0"/>
      <w:numPr>
        <w:ilvl w:val="1"/>
        <w:numId w:val="0"/>
      </w:numPr>
      <w:adjustRightInd w:val="0"/>
      <w:snapToGrid w:val="0"/>
      <w:spacing w:line="560" w:lineRule="exact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2025-06-04T00:47:00Z</dcterms:created>
  <dc:creator>彭晶晶</dc:creator>
  <cp:lastModifiedBy>彭晶晶</cp:lastModifiedBy>
  <dcterms:modified xsi:type="dcterms:W3CDTF">2025-06-04T00:50:52Z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FA3EA3A0D8204546991EFF878871B328</vt:lpwstr>
  </property>
</Properties>
</file>